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A947D7">
        <w:rPr>
          <w:rFonts w:ascii="Times New Roman" w:hAnsi="Times New Roman"/>
          <w:sz w:val="28"/>
          <w:szCs w:val="28"/>
          <w:lang w:eastAsia="ru-RU"/>
        </w:rPr>
        <w:t>1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</w:t>
      </w:r>
      <w:r w:rsidR="00A947D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3C7861">
        <w:rPr>
          <w:rFonts w:ascii="Times New Roman" w:hAnsi="Times New Roman"/>
          <w:sz w:val="28"/>
          <w:szCs w:val="28"/>
          <w:lang w:eastAsia="ru-RU"/>
        </w:rPr>
        <w:t>, от 30.12.2020 № 590</w:t>
      </w:r>
      <w:r w:rsidR="00AD34B4">
        <w:rPr>
          <w:rFonts w:ascii="Times New Roman" w:hAnsi="Times New Roman"/>
          <w:sz w:val="28"/>
          <w:szCs w:val="28"/>
          <w:lang w:eastAsia="ru-RU"/>
        </w:rPr>
        <w:t>, от 27.01.2021 № 23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7861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3C7861" w:rsidRPr="00D76E22" w:rsidRDefault="003C7861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D76E22" w:rsidRDefault="00AC39EA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D76E22" w:rsidRDefault="003C7861" w:rsidP="00A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C39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E546DE" w:rsidRDefault="00AC39EA" w:rsidP="008B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noWrap/>
            <w:vAlign w:val="center"/>
          </w:tcPr>
          <w:p w:rsidR="003C7861" w:rsidRPr="00D76E22" w:rsidRDefault="003C7861" w:rsidP="00AC39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3C7861" w:rsidRPr="00D76E22" w:rsidRDefault="00AC39EA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noWrap/>
            <w:vAlign w:val="center"/>
          </w:tcPr>
          <w:p w:rsidR="003C7861" w:rsidRPr="00D76E22" w:rsidRDefault="00AC39EA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noWrap/>
          </w:tcPr>
          <w:p w:rsidR="003C7861" w:rsidRPr="003C7861" w:rsidRDefault="00AC39EA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граничение массовых мероприятий в связи с профилактикой </w:t>
            </w:r>
            <w:proofErr w:type="spellStart"/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proofErr w:type="spellEnd"/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</w:tr>
      <w:tr w:rsidR="003C7861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F50617" w:rsidRDefault="00EE6B14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2A634C" w:rsidRDefault="00EE6B14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C7861" w:rsidRPr="004D2623" w:rsidRDefault="00344464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noWrap/>
            <w:vAlign w:val="center"/>
          </w:tcPr>
          <w:p w:rsidR="003C7861" w:rsidRPr="004D2623" w:rsidRDefault="00344464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4D2623" w:rsidRDefault="00344464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4D2623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3C7861" w:rsidRPr="00607EBB" w:rsidRDefault="003C7861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861" w:rsidRPr="00607EBB" w:rsidRDefault="00EE6B14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A00858" w:rsidRDefault="00EE6B14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7861" w:rsidRPr="00607EBB" w:rsidRDefault="003C7861" w:rsidP="0034446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44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44464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325049" w:rsidRDefault="00344464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3C7861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6F453C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AC39EA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:rsidR="00276D43" w:rsidRPr="00AC39EA" w:rsidRDefault="00AC39EA" w:rsidP="00AC39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</w:t>
            </w:r>
            <w:r w:rsidR="00894DFD">
              <w:rPr>
                <w:rFonts w:ascii="Times New Roman" w:hAnsi="Times New Roman"/>
                <w:sz w:val="24"/>
                <w:szCs w:val="24"/>
              </w:rPr>
              <w:t>2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AC39EA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AC39EA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7B6535" w:rsidP="00AC39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19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42019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42019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0B62B3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0B62B3" w:rsidRPr="00F50617" w:rsidRDefault="000B62B3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B62B3" w:rsidRPr="00AD34B4" w:rsidRDefault="00AD34B4" w:rsidP="002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0B62B3" w:rsidRPr="00B141B3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0B62B3" w:rsidRPr="0041058F" w:rsidRDefault="0042019C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103" w:type="dxa"/>
            <w:noWrap/>
            <w:vAlign w:val="center"/>
            <w:hideMark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0B62B3" w:rsidRPr="0041058F" w:rsidRDefault="0042019C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1975,0</w:t>
            </w:r>
          </w:p>
        </w:tc>
        <w:tc>
          <w:tcPr>
            <w:tcW w:w="1121" w:type="dxa"/>
            <w:noWrap/>
            <w:vAlign w:val="center"/>
            <w:hideMark/>
          </w:tcPr>
          <w:p w:rsidR="000B62B3" w:rsidRPr="009A098B" w:rsidRDefault="0042019C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1" w:type="dxa"/>
            <w:noWrap/>
            <w:vAlign w:val="center"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4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AD34B4" w:rsidRPr="00AD34B4" w:rsidRDefault="00AD34B4" w:rsidP="00510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– площадь спортивных объектов (МБУ </w:t>
            </w:r>
            <w:proofErr w:type="spellStart"/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«Покровский») </w:t>
            </w:r>
          </w:p>
        </w:tc>
        <w:tc>
          <w:tcPr>
            <w:tcW w:w="1023" w:type="dxa"/>
            <w:noWrap/>
            <w:vAlign w:val="center"/>
            <w:hideMark/>
          </w:tcPr>
          <w:p w:rsidR="00AD34B4" w:rsidRPr="00E46A71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  <w:hideMark/>
          </w:tcPr>
          <w:p w:rsidR="00AD34B4" w:rsidRPr="00975E8F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AD34B4" w:rsidRPr="00975E8F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D34B4" w:rsidRPr="00975E8F" w:rsidRDefault="00AD34B4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AD34B4" w:rsidRPr="003715A6" w:rsidRDefault="00AD34B4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AD34B4" w:rsidRPr="00B141B3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49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D6349" w:rsidRPr="006E2D08" w:rsidRDefault="007D634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7D6349" w:rsidRPr="0041058F" w:rsidRDefault="0042019C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851" w:type="dxa"/>
            <w:noWrap/>
            <w:vAlign w:val="center"/>
          </w:tcPr>
          <w:p w:rsidR="007D6349" w:rsidRPr="00B141B3" w:rsidRDefault="007D6349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349" w:rsidRPr="0041058F" w:rsidRDefault="0042019C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1975,0</w:t>
            </w:r>
          </w:p>
        </w:tc>
        <w:tc>
          <w:tcPr>
            <w:tcW w:w="992" w:type="dxa"/>
            <w:noWrap/>
            <w:vAlign w:val="center"/>
          </w:tcPr>
          <w:p w:rsidR="007D6349" w:rsidRPr="009A098B" w:rsidRDefault="0042019C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5" w:type="dxa"/>
            <w:noWrap/>
            <w:vAlign w:val="center"/>
          </w:tcPr>
          <w:p w:rsidR="007D6349" w:rsidRPr="008C39DA" w:rsidRDefault="007D6349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49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D6349" w:rsidRPr="006E2D08" w:rsidRDefault="007D6349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7D6349" w:rsidRPr="006E2D08" w:rsidRDefault="007D6349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7D6349" w:rsidRPr="006E2D08" w:rsidRDefault="007D6349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6E2D08" w:rsidRDefault="007D6349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6E2D08" w:rsidRDefault="007D6349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7D6349" w:rsidRPr="008C39DA" w:rsidRDefault="007D6349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851" w:type="dxa"/>
            <w:noWrap/>
            <w:vAlign w:val="center"/>
            <w:hideMark/>
          </w:tcPr>
          <w:p w:rsidR="007D6349" w:rsidRPr="00B141B3" w:rsidRDefault="007D6349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992" w:type="dxa"/>
            <w:noWrap/>
            <w:vAlign w:val="center"/>
          </w:tcPr>
          <w:p w:rsidR="007D6349" w:rsidRPr="009A098B" w:rsidRDefault="007D6349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7D6349" w:rsidRPr="008C39DA" w:rsidRDefault="007D6349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6349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7D6349" w:rsidRPr="00F50617" w:rsidRDefault="007D6349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D6349" w:rsidRPr="0041058F" w:rsidRDefault="00954650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480" w:type="dxa"/>
            <w:noWrap/>
            <w:vAlign w:val="center"/>
            <w:hideMark/>
          </w:tcPr>
          <w:p w:rsidR="007D6349" w:rsidRPr="0041058F" w:rsidRDefault="00954650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1975,0</w:t>
            </w:r>
          </w:p>
        </w:tc>
        <w:tc>
          <w:tcPr>
            <w:tcW w:w="1540" w:type="dxa"/>
            <w:noWrap/>
            <w:vAlign w:val="center"/>
          </w:tcPr>
          <w:p w:rsidR="007D6349" w:rsidRPr="009A098B" w:rsidRDefault="00954650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954650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54650" w:rsidRPr="006E4ED9" w:rsidRDefault="0095465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54650" w:rsidRPr="006E4ED9" w:rsidRDefault="0095465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54650" w:rsidRPr="006E4ED9" w:rsidRDefault="0095465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54650" w:rsidRPr="006E4ED9" w:rsidRDefault="00954650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954650" w:rsidRPr="0041058F" w:rsidRDefault="00954650" w:rsidP="0051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480" w:type="dxa"/>
            <w:noWrap/>
            <w:vAlign w:val="center"/>
            <w:hideMark/>
          </w:tcPr>
          <w:p w:rsidR="00954650" w:rsidRPr="0041058F" w:rsidRDefault="00954650" w:rsidP="0051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1975,0</w:t>
            </w:r>
          </w:p>
        </w:tc>
        <w:tc>
          <w:tcPr>
            <w:tcW w:w="1540" w:type="dxa"/>
            <w:noWrap/>
            <w:vAlign w:val="center"/>
          </w:tcPr>
          <w:p w:rsidR="00954650" w:rsidRPr="009A098B" w:rsidRDefault="00954650" w:rsidP="0051084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54650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954650" w:rsidRPr="006E4ED9" w:rsidRDefault="0095465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54650" w:rsidRPr="006E4ED9" w:rsidRDefault="0095465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54650" w:rsidRPr="006E4ED9" w:rsidRDefault="0095465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54650" w:rsidRPr="006E4ED9" w:rsidRDefault="00954650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954650" w:rsidRPr="0041058F" w:rsidRDefault="00954650" w:rsidP="0051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480" w:type="dxa"/>
            <w:noWrap/>
            <w:vAlign w:val="center"/>
          </w:tcPr>
          <w:p w:rsidR="00954650" w:rsidRPr="0041058F" w:rsidRDefault="00954650" w:rsidP="00510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1975,0</w:t>
            </w:r>
          </w:p>
        </w:tc>
        <w:tc>
          <w:tcPr>
            <w:tcW w:w="1540" w:type="dxa"/>
            <w:noWrap/>
            <w:vAlign w:val="center"/>
          </w:tcPr>
          <w:p w:rsidR="00954650" w:rsidRPr="009A098B" w:rsidRDefault="00954650" w:rsidP="0051084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0A82" w:rsidRPr="007B5747" w:rsidTr="00961894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0A82" w:rsidRPr="007B5747" w:rsidRDefault="00F46689" w:rsidP="00F4668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</w:t>
            </w:r>
            <w:r w:rsidR="00210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E0A82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0A82" w:rsidRPr="002222DB" w:rsidRDefault="00F46689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noWrap/>
            <w:vAlign w:val="center"/>
            <w:hideMark/>
          </w:tcPr>
          <w:p w:rsidR="002E0A82" w:rsidRPr="004A3E76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517A" w:rsidRDefault="0056517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517A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14EB6"/>
    <w:rsid w:val="000213D0"/>
    <w:rsid w:val="00023327"/>
    <w:rsid w:val="00031451"/>
    <w:rsid w:val="0005556D"/>
    <w:rsid w:val="000618C5"/>
    <w:rsid w:val="000622A1"/>
    <w:rsid w:val="0006667C"/>
    <w:rsid w:val="00091FCA"/>
    <w:rsid w:val="000B62B3"/>
    <w:rsid w:val="000C4C48"/>
    <w:rsid w:val="000D0F2A"/>
    <w:rsid w:val="000D15B3"/>
    <w:rsid w:val="000E67F5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B0A42"/>
    <w:rsid w:val="001D227A"/>
    <w:rsid w:val="001E7155"/>
    <w:rsid w:val="001F73EA"/>
    <w:rsid w:val="00210B8F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0A82"/>
    <w:rsid w:val="002E1C21"/>
    <w:rsid w:val="002F005D"/>
    <w:rsid w:val="003140EC"/>
    <w:rsid w:val="003142F5"/>
    <w:rsid w:val="00325049"/>
    <w:rsid w:val="00344464"/>
    <w:rsid w:val="003715A6"/>
    <w:rsid w:val="003A078D"/>
    <w:rsid w:val="003A43AE"/>
    <w:rsid w:val="003A6F11"/>
    <w:rsid w:val="003C2430"/>
    <w:rsid w:val="003C5EDF"/>
    <w:rsid w:val="003C7861"/>
    <w:rsid w:val="003D47E5"/>
    <w:rsid w:val="003E567B"/>
    <w:rsid w:val="003F63EA"/>
    <w:rsid w:val="0041058F"/>
    <w:rsid w:val="0042019C"/>
    <w:rsid w:val="00444157"/>
    <w:rsid w:val="0046251A"/>
    <w:rsid w:val="0046282A"/>
    <w:rsid w:val="00465FEC"/>
    <w:rsid w:val="004A0189"/>
    <w:rsid w:val="004A260B"/>
    <w:rsid w:val="004A6590"/>
    <w:rsid w:val="004A69BE"/>
    <w:rsid w:val="004B0D6D"/>
    <w:rsid w:val="004D2623"/>
    <w:rsid w:val="004E070A"/>
    <w:rsid w:val="00520470"/>
    <w:rsid w:val="00532B21"/>
    <w:rsid w:val="00541D8E"/>
    <w:rsid w:val="00547F88"/>
    <w:rsid w:val="00553DB5"/>
    <w:rsid w:val="005575F4"/>
    <w:rsid w:val="0056517A"/>
    <w:rsid w:val="00576E27"/>
    <w:rsid w:val="00584B0D"/>
    <w:rsid w:val="00597358"/>
    <w:rsid w:val="005A2366"/>
    <w:rsid w:val="005D6149"/>
    <w:rsid w:val="005E4B93"/>
    <w:rsid w:val="005F6698"/>
    <w:rsid w:val="005F6E06"/>
    <w:rsid w:val="00607EBB"/>
    <w:rsid w:val="006158B3"/>
    <w:rsid w:val="00620C74"/>
    <w:rsid w:val="00625699"/>
    <w:rsid w:val="0063044F"/>
    <w:rsid w:val="006719C3"/>
    <w:rsid w:val="00677945"/>
    <w:rsid w:val="006A7F70"/>
    <w:rsid w:val="006B0F1B"/>
    <w:rsid w:val="006C0169"/>
    <w:rsid w:val="006C206B"/>
    <w:rsid w:val="006C5CD2"/>
    <w:rsid w:val="006D174E"/>
    <w:rsid w:val="006E2D08"/>
    <w:rsid w:val="006E3A48"/>
    <w:rsid w:val="006E783A"/>
    <w:rsid w:val="006F43F9"/>
    <w:rsid w:val="006F453C"/>
    <w:rsid w:val="00716800"/>
    <w:rsid w:val="00727AB8"/>
    <w:rsid w:val="00731FB6"/>
    <w:rsid w:val="00736DF6"/>
    <w:rsid w:val="007B6535"/>
    <w:rsid w:val="007D6349"/>
    <w:rsid w:val="007E066F"/>
    <w:rsid w:val="007E0CBE"/>
    <w:rsid w:val="007E1ABC"/>
    <w:rsid w:val="007E4E9A"/>
    <w:rsid w:val="007F0580"/>
    <w:rsid w:val="0081331A"/>
    <w:rsid w:val="00832861"/>
    <w:rsid w:val="00845875"/>
    <w:rsid w:val="0085217C"/>
    <w:rsid w:val="00852B64"/>
    <w:rsid w:val="00871FF7"/>
    <w:rsid w:val="00881A7B"/>
    <w:rsid w:val="00884280"/>
    <w:rsid w:val="008909B4"/>
    <w:rsid w:val="00894DFD"/>
    <w:rsid w:val="008A09DC"/>
    <w:rsid w:val="008A2BAA"/>
    <w:rsid w:val="008B3357"/>
    <w:rsid w:val="008C0B85"/>
    <w:rsid w:val="008C39DA"/>
    <w:rsid w:val="008D6CE6"/>
    <w:rsid w:val="008E0202"/>
    <w:rsid w:val="00916B84"/>
    <w:rsid w:val="00925A63"/>
    <w:rsid w:val="00933352"/>
    <w:rsid w:val="0094684B"/>
    <w:rsid w:val="00954650"/>
    <w:rsid w:val="00975E8F"/>
    <w:rsid w:val="009A098B"/>
    <w:rsid w:val="009A0C1E"/>
    <w:rsid w:val="009A6BB0"/>
    <w:rsid w:val="009B3E64"/>
    <w:rsid w:val="009C7672"/>
    <w:rsid w:val="009E2C88"/>
    <w:rsid w:val="009E4C93"/>
    <w:rsid w:val="009E722C"/>
    <w:rsid w:val="009F5E87"/>
    <w:rsid w:val="009F5F29"/>
    <w:rsid w:val="00A00858"/>
    <w:rsid w:val="00A01DD7"/>
    <w:rsid w:val="00A05047"/>
    <w:rsid w:val="00A25AE5"/>
    <w:rsid w:val="00A265A6"/>
    <w:rsid w:val="00A26F00"/>
    <w:rsid w:val="00A36FA3"/>
    <w:rsid w:val="00A552F4"/>
    <w:rsid w:val="00A645C2"/>
    <w:rsid w:val="00A777BF"/>
    <w:rsid w:val="00A947D7"/>
    <w:rsid w:val="00A950A3"/>
    <w:rsid w:val="00A96EFF"/>
    <w:rsid w:val="00AA208C"/>
    <w:rsid w:val="00AC39EA"/>
    <w:rsid w:val="00AD1973"/>
    <w:rsid w:val="00AD34B4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15689"/>
    <w:rsid w:val="00C20BD2"/>
    <w:rsid w:val="00C31D26"/>
    <w:rsid w:val="00C351E2"/>
    <w:rsid w:val="00C402CD"/>
    <w:rsid w:val="00C4088C"/>
    <w:rsid w:val="00C6147E"/>
    <w:rsid w:val="00C65FCF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C4E98"/>
    <w:rsid w:val="00DE4718"/>
    <w:rsid w:val="00DE5129"/>
    <w:rsid w:val="00DF0DAD"/>
    <w:rsid w:val="00E0625F"/>
    <w:rsid w:val="00E379B1"/>
    <w:rsid w:val="00E546DE"/>
    <w:rsid w:val="00E62618"/>
    <w:rsid w:val="00E70A47"/>
    <w:rsid w:val="00E92CB8"/>
    <w:rsid w:val="00E94E35"/>
    <w:rsid w:val="00EB12AD"/>
    <w:rsid w:val="00EE3609"/>
    <w:rsid w:val="00EE5C54"/>
    <w:rsid w:val="00EE6B14"/>
    <w:rsid w:val="00F04C6F"/>
    <w:rsid w:val="00F04EA4"/>
    <w:rsid w:val="00F2621A"/>
    <w:rsid w:val="00F42A75"/>
    <w:rsid w:val="00F46689"/>
    <w:rsid w:val="00F672D9"/>
    <w:rsid w:val="00F90D0E"/>
    <w:rsid w:val="00F91FA7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677C-0A80-4A90-993C-94F5CC85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3</cp:revision>
  <cp:lastPrinted>2019-07-18T13:09:00Z</cp:lastPrinted>
  <dcterms:created xsi:type="dcterms:W3CDTF">2021-04-20T11:33:00Z</dcterms:created>
  <dcterms:modified xsi:type="dcterms:W3CDTF">2021-04-20T11:34:00Z</dcterms:modified>
</cp:coreProperties>
</file>